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13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  <w:tblDescription w:val="The Roles and Responsibilities of the California Workforce Development Board, Employment Development Department, and California Workforce Association. "/>
      </w:tblPr>
      <w:tblGrid>
        <w:gridCol w:w="4498"/>
        <w:gridCol w:w="4498"/>
        <w:gridCol w:w="4499"/>
      </w:tblGrid>
      <w:tr w:rsidR="00ED3B0D" w14:paraId="4AE78A38" w14:textId="77777777" w:rsidTr="00AA493B">
        <w:trPr>
          <w:trHeight w:val="949"/>
          <w:tblHeader/>
        </w:trPr>
        <w:tc>
          <w:tcPr>
            <w:tcW w:w="4498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44546A" w:themeFill="text2"/>
            <w:vAlign w:val="center"/>
          </w:tcPr>
          <w:p w14:paraId="6277444F" w14:textId="77777777" w:rsidR="00B1260D" w:rsidRPr="00091D73" w:rsidRDefault="00ED3B0D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1D7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 Workforce Development Board (CWDB)</w:t>
            </w:r>
          </w:p>
        </w:tc>
        <w:tc>
          <w:tcPr>
            <w:tcW w:w="449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4546A" w:themeFill="text2"/>
            <w:vAlign w:val="center"/>
          </w:tcPr>
          <w:p w14:paraId="1484770C" w14:textId="77777777" w:rsidR="00B1260D" w:rsidRPr="00091D73" w:rsidRDefault="00ED3B0D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1D7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Employment Development Department (EDD)</w:t>
            </w:r>
          </w:p>
        </w:tc>
        <w:tc>
          <w:tcPr>
            <w:tcW w:w="4499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44546A" w:themeFill="text2"/>
            <w:vAlign w:val="center"/>
          </w:tcPr>
          <w:p w14:paraId="38D7D3DD" w14:textId="77777777" w:rsidR="00ED3B0D" w:rsidRPr="00091D73" w:rsidRDefault="00ED3B0D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1D7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California Workforce Association (CWA)</w:t>
            </w:r>
          </w:p>
        </w:tc>
      </w:tr>
      <w:tr w:rsidR="00ED3B0D" w14:paraId="264ABDAD" w14:textId="77777777" w:rsidTr="00AA493B">
        <w:trPr>
          <w:trHeight w:val="3541"/>
        </w:trPr>
        <w:tc>
          <w:tcPr>
            <w:tcW w:w="4498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auto"/>
          </w:tcPr>
          <w:p w14:paraId="33285FE0" w14:textId="129C2756" w:rsidR="00C727C4" w:rsidRPr="00AA493B" w:rsidRDefault="00C727C4" w:rsidP="00091D73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9" w:right="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Develops policy on training and technical assistance for the purpose of preparing the staff and partners of the workforce system to implement the California Strategic Workforce Development Plan. </w:t>
            </w:r>
          </w:p>
          <w:p w14:paraId="2EF2DABC" w14:textId="0B9DBC2D" w:rsidR="00C727C4" w:rsidRPr="00AA493B" w:rsidRDefault="00C727C4" w:rsidP="00091D73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9" w:right="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Funds, oversees, and manages Regional Organizers (RO)’s in California’s 15 Regional Planning Units. The RO’s act as liaison and </w:t>
            </w:r>
            <w:bookmarkStart w:id="0" w:name="_GoBack"/>
            <w:bookmarkEnd w:id="0"/>
            <w:r w:rsidRPr="00AA493B">
              <w:rPr>
                <w:rFonts w:ascii="Arial" w:hAnsi="Arial" w:cs="Arial"/>
                <w:sz w:val="24"/>
                <w:szCs w:val="24"/>
              </w:rPr>
              <w:t xml:space="preserve">communication pipeline between the </w:t>
            </w:r>
            <w:r w:rsidR="00916495">
              <w:rPr>
                <w:rFonts w:ascii="Arial" w:hAnsi="Arial" w:cs="Arial"/>
                <w:sz w:val="24"/>
                <w:szCs w:val="24"/>
              </w:rPr>
              <w:t>CWDB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 and Local Workforce Development Board (LWDB) directors/regional leaders and develop regional training plans. </w:t>
            </w:r>
          </w:p>
          <w:p w14:paraId="5AF5A57C" w14:textId="6DB64C2A" w:rsidR="00C727C4" w:rsidRPr="00585D5F" w:rsidRDefault="00585D5F" w:rsidP="00585D5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9" w:right="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Executes and modifies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contracts, p</w:t>
            </w:r>
            <w:r w:rsidR="00916495" w:rsidRPr="00585D5F">
              <w:rPr>
                <w:rFonts w:ascii="Arial" w:hAnsi="Arial" w:cs="Arial"/>
                <w:sz w:val="24"/>
                <w:szCs w:val="24"/>
              </w:rPr>
              <w:t>rovide project oversight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B587D" w:rsidRPr="00585D5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E55C7" w:rsidRPr="00585D5F">
              <w:rPr>
                <w:rFonts w:ascii="Arial" w:hAnsi="Arial" w:cs="Arial"/>
                <w:sz w:val="24"/>
                <w:szCs w:val="24"/>
              </w:rPr>
              <w:t xml:space="preserve">reviews </w:t>
            </w:r>
            <w:r w:rsidR="00C727C4" w:rsidRPr="00585D5F">
              <w:rPr>
                <w:rFonts w:ascii="Arial" w:hAnsi="Arial" w:cs="Arial"/>
                <w:sz w:val="24"/>
                <w:szCs w:val="24"/>
              </w:rPr>
              <w:t xml:space="preserve">quarterly reports. </w:t>
            </w:r>
          </w:p>
          <w:p w14:paraId="1CDA65F5" w14:textId="2C38E7C9" w:rsidR="00C727C4" w:rsidRPr="00AA493B" w:rsidRDefault="00C727C4" w:rsidP="00091D73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9" w:right="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Schedules Regional meetings and conference calls to share information and track progress. </w:t>
            </w:r>
          </w:p>
          <w:p w14:paraId="2B4FD5B1" w14:textId="470DBB7A" w:rsidR="00B1260D" w:rsidRPr="00BE4C73" w:rsidRDefault="00C727C4" w:rsidP="00091D73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9" w:right="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Procure Technical Assista</w:t>
            </w:r>
            <w:r w:rsidR="004D6C8B">
              <w:rPr>
                <w:rFonts w:ascii="Arial" w:hAnsi="Arial" w:cs="Arial"/>
                <w:sz w:val="24"/>
                <w:szCs w:val="24"/>
              </w:rPr>
              <w:t xml:space="preserve">nce providers </w:t>
            </w:r>
            <w:r w:rsidR="006E55C7">
              <w:rPr>
                <w:rFonts w:ascii="Arial" w:hAnsi="Arial" w:cs="Arial"/>
                <w:sz w:val="24"/>
                <w:szCs w:val="24"/>
              </w:rPr>
              <w:t xml:space="preserve">and evaluators </w:t>
            </w:r>
            <w:r w:rsidR="004D6C8B">
              <w:rPr>
                <w:rFonts w:ascii="Arial" w:hAnsi="Arial" w:cs="Arial"/>
                <w:sz w:val="24"/>
                <w:szCs w:val="24"/>
              </w:rPr>
              <w:t>to work with LWDB</w:t>
            </w:r>
            <w:r w:rsidR="00916495">
              <w:rPr>
                <w:rFonts w:ascii="Arial" w:hAnsi="Arial" w:cs="Arial"/>
                <w:sz w:val="24"/>
                <w:szCs w:val="24"/>
              </w:rPr>
              <w:t>’</w:t>
            </w:r>
            <w:r w:rsidR="004D6C8B">
              <w:rPr>
                <w:rFonts w:ascii="Arial" w:hAnsi="Arial" w:cs="Arial"/>
                <w:sz w:val="24"/>
                <w:szCs w:val="24"/>
              </w:rPr>
              <w:t>s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 partners and grantees to ensure implementation of State and Regional Plan objectives, strategies, identify promising practices, and successful convening efforts that link policy and practice. </w:t>
            </w:r>
          </w:p>
        </w:tc>
        <w:tc>
          <w:tcPr>
            <w:tcW w:w="4498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auto"/>
          </w:tcPr>
          <w:p w14:paraId="30C5B035" w14:textId="34F0C2EC" w:rsidR="002A42EB" w:rsidRPr="00AA493B" w:rsidRDefault="00C727C4" w:rsidP="00091D7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11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E</w:t>
            </w:r>
            <w:r w:rsidR="00091D73">
              <w:rPr>
                <w:rFonts w:ascii="Arial" w:hAnsi="Arial" w:cs="Arial"/>
                <w:sz w:val="24"/>
                <w:szCs w:val="24"/>
              </w:rPr>
              <w:t xml:space="preserve">DD CBU develop training(s) and technical 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assistance </w:t>
            </w:r>
            <w:r w:rsidRPr="00BE4C73">
              <w:rPr>
                <w:rFonts w:ascii="Arial" w:hAnsi="Arial" w:cs="Arial"/>
                <w:sz w:val="24"/>
                <w:szCs w:val="24"/>
              </w:rPr>
              <w:t>as needed</w:t>
            </w:r>
            <w:r w:rsidR="00BE4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495">
              <w:rPr>
                <w:rFonts w:ascii="Arial" w:hAnsi="Arial" w:cs="Arial"/>
                <w:sz w:val="24"/>
                <w:szCs w:val="24"/>
              </w:rPr>
              <w:t>for WIOA Title I and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495">
              <w:rPr>
                <w:rFonts w:ascii="Arial" w:hAnsi="Arial" w:cs="Arial"/>
                <w:sz w:val="24"/>
                <w:szCs w:val="24"/>
              </w:rPr>
              <w:t xml:space="preserve">Title </w:t>
            </w:r>
            <w:r w:rsidRPr="00AA493B">
              <w:rPr>
                <w:rFonts w:ascii="Arial" w:hAnsi="Arial" w:cs="Arial"/>
                <w:sz w:val="24"/>
                <w:szCs w:val="24"/>
              </w:rPr>
              <w:t>III to ensure compliance wit</w:t>
            </w:r>
            <w:r w:rsidR="00916495">
              <w:rPr>
                <w:rFonts w:ascii="Arial" w:hAnsi="Arial" w:cs="Arial"/>
                <w:sz w:val="24"/>
                <w:szCs w:val="24"/>
              </w:rPr>
              <w:t xml:space="preserve">h WIOA and EDD WSB Directives. 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Examples: </w:t>
            </w:r>
          </w:p>
          <w:p w14:paraId="2B05B0FB" w14:textId="77777777" w:rsidR="002A42EB" w:rsidRPr="00AA493B" w:rsidRDefault="000D2E87" w:rsidP="00091D7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69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CalJOBS System </w:t>
            </w:r>
            <w:r w:rsidR="00C727C4" w:rsidRPr="00AA493B">
              <w:rPr>
                <w:rFonts w:ascii="Arial" w:hAnsi="Arial" w:cs="Arial"/>
                <w:sz w:val="24"/>
                <w:szCs w:val="24"/>
              </w:rPr>
              <w:t>Training</w:t>
            </w:r>
          </w:p>
          <w:p w14:paraId="14634ADA" w14:textId="77777777" w:rsidR="002A42EB" w:rsidRPr="00AA493B" w:rsidRDefault="000D2E87" w:rsidP="00091D7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69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WIOA 101 Field </w:t>
            </w:r>
            <w:r w:rsidR="00C727C4" w:rsidRPr="00AA493B">
              <w:rPr>
                <w:rFonts w:ascii="Arial" w:hAnsi="Arial" w:cs="Arial"/>
                <w:sz w:val="24"/>
                <w:szCs w:val="24"/>
              </w:rPr>
              <w:t>Division</w:t>
            </w:r>
          </w:p>
          <w:p w14:paraId="403B537A" w14:textId="77777777" w:rsidR="002A42EB" w:rsidRPr="00AA493B" w:rsidRDefault="00C727C4" w:rsidP="00091D7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69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Career Coaching</w:t>
            </w:r>
          </w:p>
          <w:p w14:paraId="3EFE57B2" w14:textId="77777777" w:rsidR="002A42EB" w:rsidRPr="00AA493B" w:rsidRDefault="000D2E87" w:rsidP="00091D7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69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Elements of </w:t>
            </w:r>
            <w:r w:rsidR="00C727C4" w:rsidRPr="00AA493B">
              <w:rPr>
                <w:rFonts w:ascii="Arial" w:hAnsi="Arial" w:cs="Arial"/>
                <w:sz w:val="24"/>
                <w:szCs w:val="24"/>
              </w:rPr>
              <w:t>Performance</w:t>
            </w:r>
          </w:p>
          <w:p w14:paraId="3E77227A" w14:textId="77777777" w:rsidR="002A42EB" w:rsidRPr="00AA493B" w:rsidRDefault="000D2E87" w:rsidP="00091D7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69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Effective Case </w:t>
            </w:r>
            <w:r w:rsidR="00C727C4" w:rsidRPr="00AA493B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</w:p>
          <w:p w14:paraId="4BDF1C9D" w14:textId="77777777" w:rsidR="00BE4C73" w:rsidRDefault="00C727C4" w:rsidP="00091D7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11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EDD Executive Leadership coordinates with CWDB and CWA to develop work groups, draft policy and train local staff and partners on EDD WSB Directives</w:t>
            </w:r>
            <w:r w:rsidR="00BE4C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AFCEF1" w14:textId="5E144D1C" w:rsidR="00B1260D" w:rsidRPr="00AA493B" w:rsidRDefault="00C727C4" w:rsidP="00091D7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11" w:right="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EDD Regional Advisors partic</w:t>
            </w:r>
            <w:r w:rsidR="004D6C8B">
              <w:rPr>
                <w:rFonts w:ascii="Arial" w:hAnsi="Arial" w:cs="Arial"/>
                <w:sz w:val="24"/>
                <w:szCs w:val="24"/>
              </w:rPr>
              <w:t>ipate/attend regional convening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 and conference calls</w:t>
            </w:r>
            <w:r w:rsidR="004D6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auto"/>
          </w:tcPr>
          <w:p w14:paraId="287F5633" w14:textId="77777777" w:rsidR="006E55C7" w:rsidRPr="00362DE3" w:rsidRDefault="006E55C7" w:rsidP="00091D7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Technical Assist</w:t>
            </w:r>
            <w:r w:rsidRPr="00362DE3">
              <w:rPr>
                <w:rFonts w:ascii="Arial" w:hAnsi="Arial" w:cs="Arial"/>
                <w:sz w:val="24"/>
                <w:szCs w:val="24"/>
              </w:rPr>
              <w:t xml:space="preserve">ance Provider for Regional Plan </w:t>
            </w:r>
            <w:r w:rsidRPr="00AA493B">
              <w:rPr>
                <w:rFonts w:ascii="Arial" w:hAnsi="Arial" w:cs="Arial"/>
                <w:sz w:val="24"/>
                <w:szCs w:val="24"/>
              </w:rPr>
              <w:t xml:space="preserve">Implementation, funded by CWDB </w:t>
            </w:r>
          </w:p>
          <w:p w14:paraId="752FCCB0" w14:textId="685CDE51" w:rsidR="000D2E87" w:rsidRPr="00362DE3" w:rsidRDefault="000D2E87" w:rsidP="00091D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7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Act as intermediary between CWDB and (LWDB)’s </w:t>
            </w:r>
          </w:p>
          <w:p w14:paraId="45CC715A" w14:textId="77777777" w:rsidR="000D2E87" w:rsidRPr="00362DE3" w:rsidRDefault="000D2E87" w:rsidP="00091D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7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Conduct a training needs assessment for the 15 RPUs and assist them in developing Regional Training Plans</w:t>
            </w:r>
          </w:p>
          <w:p w14:paraId="4F255572" w14:textId="77777777" w:rsidR="000D2E87" w:rsidRPr="00362DE3" w:rsidRDefault="000D2E87" w:rsidP="00091D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7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 xml:space="preserve">Procure and maintain a list of qualified training vendors (California Training Initiative – CTI) for RPU’s to use to train staff. </w:t>
            </w:r>
          </w:p>
          <w:p w14:paraId="63E1CD50" w14:textId="77777777" w:rsidR="00091D73" w:rsidRDefault="000D2E87" w:rsidP="00091D7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1D73">
              <w:rPr>
                <w:rFonts w:ascii="Arial" w:hAnsi="Arial" w:cs="Arial"/>
                <w:sz w:val="24"/>
                <w:szCs w:val="24"/>
              </w:rPr>
              <w:t xml:space="preserve">Provide TA to RO’s to ensure regional plans are implemented and partnerships are developed </w:t>
            </w:r>
          </w:p>
          <w:p w14:paraId="0DA81562" w14:textId="77777777" w:rsidR="00091D73" w:rsidRDefault="000D2E87" w:rsidP="00091D7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1D73">
              <w:rPr>
                <w:rFonts w:ascii="Arial" w:hAnsi="Arial" w:cs="Arial"/>
                <w:sz w:val="24"/>
                <w:szCs w:val="24"/>
              </w:rPr>
              <w:t xml:space="preserve">Provide professional development/training to Regional Organizers  </w:t>
            </w:r>
          </w:p>
          <w:p w14:paraId="5E75DE3B" w14:textId="77777777" w:rsidR="00091D73" w:rsidRDefault="000D2E87" w:rsidP="00091D7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1D73">
              <w:rPr>
                <w:rFonts w:ascii="Arial" w:hAnsi="Arial" w:cs="Arial"/>
                <w:sz w:val="24"/>
                <w:szCs w:val="24"/>
              </w:rPr>
              <w:t xml:space="preserve">Deepen industry sector partnerships  </w:t>
            </w:r>
          </w:p>
          <w:p w14:paraId="77BB60D7" w14:textId="6ADB6FB2" w:rsidR="000D2E87" w:rsidRPr="00091D73" w:rsidRDefault="000D2E87" w:rsidP="00091D7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1D73">
              <w:rPr>
                <w:rFonts w:ascii="Arial" w:hAnsi="Arial" w:cs="Arial"/>
                <w:sz w:val="24"/>
                <w:szCs w:val="24"/>
              </w:rPr>
              <w:t xml:space="preserve">Facilitate Regional Organizing Exchanges and Community of Practice </w:t>
            </w:r>
          </w:p>
          <w:p w14:paraId="6A7F075F" w14:textId="77777777" w:rsidR="00B1260D" w:rsidRPr="00AA493B" w:rsidRDefault="000D2E87" w:rsidP="00091D7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A493B">
              <w:rPr>
                <w:rFonts w:ascii="Arial" w:hAnsi="Arial" w:cs="Arial"/>
                <w:sz w:val="24"/>
                <w:szCs w:val="24"/>
              </w:rPr>
              <w:t>Assist with webinars and logistics for meetings</w:t>
            </w:r>
          </w:p>
        </w:tc>
      </w:tr>
    </w:tbl>
    <w:p w14:paraId="778D1F00" w14:textId="77777777" w:rsidR="00362DE3" w:rsidRPr="00AA493B" w:rsidRDefault="00362DE3" w:rsidP="00091D73">
      <w:pPr>
        <w:spacing w:before="360" w:after="120"/>
        <w:ind w:right="-2894"/>
        <w:rPr>
          <w:rFonts w:ascii="Arial" w:hAnsi="Arial" w:cs="Arial"/>
          <w:b/>
          <w:color w:val="323E4F" w:themeColor="text2" w:themeShade="BF"/>
          <w:sz w:val="36"/>
          <w:szCs w:val="36"/>
        </w:rPr>
      </w:pPr>
      <w:r w:rsidRPr="00AA493B">
        <w:rPr>
          <w:rFonts w:ascii="Arial" w:hAnsi="Arial" w:cs="Arial"/>
          <w:b/>
          <w:color w:val="323E4F" w:themeColor="text2" w:themeShade="BF"/>
          <w:sz w:val="36"/>
          <w:szCs w:val="36"/>
        </w:rPr>
        <w:t>GLOSSARY/DEFINITIONS</w:t>
      </w:r>
    </w:p>
    <w:p w14:paraId="7BEB40CD" w14:textId="30CADFE6" w:rsidR="00EB2468" w:rsidRPr="00AA493B" w:rsidRDefault="00362DE3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>Regional Organizers</w:t>
      </w:r>
      <w:r w:rsidRPr="00AA493B">
        <w:rPr>
          <w:rFonts w:ascii="Arial" w:hAnsi="Arial" w:cs="Arial"/>
          <w:bCs/>
        </w:rPr>
        <w:t xml:space="preserve"> </w:t>
      </w:r>
      <w:r w:rsidRPr="00AA493B">
        <w:rPr>
          <w:rFonts w:ascii="Arial" w:hAnsi="Arial" w:cs="Arial"/>
        </w:rPr>
        <w:t xml:space="preserve">act as liaisons between the </w:t>
      </w:r>
      <w:r w:rsidR="00466FFE">
        <w:rPr>
          <w:rFonts w:ascii="Arial" w:hAnsi="Arial" w:cs="Arial"/>
        </w:rPr>
        <w:t>CWDB and Local Workforce D</w:t>
      </w:r>
      <w:r w:rsidRPr="00AA493B">
        <w:rPr>
          <w:rFonts w:ascii="Arial" w:hAnsi="Arial" w:cs="Arial"/>
        </w:rPr>
        <w:t>evelopment Board Directors to encourage alignment of partners and implementation of the Regional Workforce Plans. In 2016 the LW</w:t>
      </w:r>
      <w:r w:rsidR="00466FFE">
        <w:rPr>
          <w:rFonts w:ascii="Arial" w:hAnsi="Arial" w:cs="Arial"/>
        </w:rPr>
        <w:t>D</w:t>
      </w:r>
      <w:r w:rsidRPr="00AA493B">
        <w:rPr>
          <w:rFonts w:ascii="Arial" w:hAnsi="Arial" w:cs="Arial"/>
        </w:rPr>
        <w:t xml:space="preserve">B who were designated as the RPU fiscal agents were augmented $85,000 in WIOA 25% One Time Implementation funding to cover the costs of hiring/designating a “regional training coordinator”. </w:t>
      </w:r>
    </w:p>
    <w:p w14:paraId="0B21F7C8" w14:textId="54388338" w:rsidR="00EB2468" w:rsidRPr="00AA493B" w:rsidRDefault="00EB2468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 xml:space="preserve">Regional Training Coordinators </w:t>
      </w:r>
      <w:r w:rsidRPr="00AA493B">
        <w:rPr>
          <w:rFonts w:ascii="Arial" w:hAnsi="Arial" w:cs="Arial"/>
        </w:rPr>
        <w:t>are responsible for coordinating staff development and capacity building efforts in each of the regional planning units. In 2016 the LW</w:t>
      </w:r>
      <w:r w:rsidR="00466FFE">
        <w:rPr>
          <w:rFonts w:ascii="Arial" w:hAnsi="Arial" w:cs="Arial"/>
        </w:rPr>
        <w:t>D</w:t>
      </w:r>
      <w:r w:rsidRPr="00AA493B">
        <w:rPr>
          <w:rFonts w:ascii="Arial" w:hAnsi="Arial" w:cs="Arial"/>
        </w:rPr>
        <w:t xml:space="preserve">B who were designated as the RPU fiscal agents were $43,000 in WIOA 25% One Time Implementation funding to cover the costs of hiring/designating a “regional training coordinator”. </w:t>
      </w:r>
    </w:p>
    <w:p w14:paraId="312B5826" w14:textId="77777777" w:rsidR="00EB2468" w:rsidRPr="00AA493B" w:rsidRDefault="00EB2468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 xml:space="preserve">EDD’s Capacity Building Unit </w:t>
      </w:r>
      <w:r w:rsidRPr="00AA493B">
        <w:rPr>
          <w:rFonts w:ascii="Arial" w:hAnsi="Arial" w:cs="Arial"/>
        </w:rPr>
        <w:t xml:space="preserve">(CBU) provides webinar-based staff development training to enhance the competencies of California’s workforce development staff and assists in the scheduling of training on CalJOBS. </w:t>
      </w:r>
    </w:p>
    <w:p w14:paraId="66E16EE3" w14:textId="46D2367D" w:rsidR="00EB2468" w:rsidRPr="00AA493B" w:rsidRDefault="00EB2468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 xml:space="preserve">CalJOBS </w:t>
      </w:r>
      <w:r w:rsidRPr="00AA493B">
        <w:rPr>
          <w:rFonts w:ascii="Arial" w:hAnsi="Arial" w:cs="Arial"/>
        </w:rPr>
        <w:t xml:space="preserve">is California’s online resource to help job seekers and employer navigate the state’s workforce system. </w:t>
      </w:r>
      <w:r w:rsidR="00466FFE">
        <w:rPr>
          <w:rFonts w:ascii="Arial" w:hAnsi="Arial" w:cs="Arial"/>
        </w:rPr>
        <w:t>Additionally,</w:t>
      </w:r>
      <w:r w:rsidR="00466FFE">
        <w:rPr>
          <w:rFonts w:ascii="Arial" w:hAnsi="Arial" w:cs="Arial"/>
          <w:b/>
          <w:bCs/>
        </w:rPr>
        <w:t xml:space="preserve"> </w:t>
      </w:r>
      <w:r w:rsidR="00466FFE">
        <w:rPr>
          <w:rFonts w:ascii="Arial" w:hAnsi="Arial" w:cs="Arial"/>
        </w:rPr>
        <w:t>i</w:t>
      </w:r>
      <w:r w:rsidRPr="00AA493B">
        <w:rPr>
          <w:rFonts w:ascii="Arial" w:hAnsi="Arial" w:cs="Arial"/>
        </w:rPr>
        <w:t xml:space="preserve">t </w:t>
      </w:r>
      <w:r w:rsidR="00466FFE">
        <w:rPr>
          <w:rFonts w:ascii="Arial" w:hAnsi="Arial" w:cs="Arial"/>
        </w:rPr>
        <w:t xml:space="preserve">is also </w:t>
      </w:r>
      <w:r w:rsidRPr="00AA493B">
        <w:rPr>
          <w:rFonts w:ascii="Arial" w:hAnsi="Arial" w:cs="Arial"/>
        </w:rPr>
        <w:t>the State’s L</w:t>
      </w:r>
      <w:r w:rsidR="004D6C8B">
        <w:rPr>
          <w:rFonts w:ascii="Arial" w:hAnsi="Arial" w:cs="Arial"/>
        </w:rPr>
        <w:t>abor Exchange System, is</w:t>
      </w:r>
      <w:r w:rsidR="00466FFE">
        <w:rPr>
          <w:rFonts w:ascii="Arial" w:hAnsi="Arial" w:cs="Arial"/>
        </w:rPr>
        <w:t xml:space="preserve"> use</w:t>
      </w:r>
      <w:r w:rsidRPr="00AA493B">
        <w:rPr>
          <w:rFonts w:ascii="Arial" w:hAnsi="Arial" w:cs="Arial"/>
        </w:rPr>
        <w:t xml:space="preserve"> for tracking and reporting performance outcomes and services</w:t>
      </w:r>
      <w:r w:rsidR="004D6C8B">
        <w:rPr>
          <w:rFonts w:ascii="Arial" w:hAnsi="Arial" w:cs="Arial"/>
        </w:rPr>
        <w:t>,</w:t>
      </w:r>
      <w:r w:rsidRPr="00AA493B">
        <w:rPr>
          <w:rFonts w:ascii="Arial" w:hAnsi="Arial" w:cs="Arial"/>
        </w:rPr>
        <w:t xml:space="preserve"> and is the financial management system for WIOA. </w:t>
      </w:r>
    </w:p>
    <w:p w14:paraId="3A0026B6" w14:textId="77777777" w:rsidR="00EB2468" w:rsidRPr="00AA493B" w:rsidRDefault="00EB2468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</w:rPr>
        <w:t xml:space="preserve">The </w:t>
      </w:r>
      <w:r w:rsidRPr="00AA493B">
        <w:rPr>
          <w:rFonts w:ascii="Arial" w:hAnsi="Arial" w:cs="Arial"/>
          <w:b/>
          <w:bCs/>
        </w:rPr>
        <w:t xml:space="preserve">California Workforce Association </w:t>
      </w:r>
      <w:r w:rsidRPr="00AA493B">
        <w:rPr>
          <w:rFonts w:ascii="Arial" w:hAnsi="Arial" w:cs="Arial"/>
        </w:rPr>
        <w:t xml:space="preserve">is a non-profit member association representing 45 Workforce Development Boards plus 70+ organizations interested in advancing local and regional </w:t>
      </w:r>
      <w:r>
        <w:rPr>
          <w:rFonts w:ascii="Arial" w:hAnsi="Arial" w:cs="Arial"/>
        </w:rPr>
        <w:t>workforce development in California</w:t>
      </w:r>
      <w:r w:rsidRPr="00AA493B">
        <w:rPr>
          <w:rFonts w:ascii="Arial" w:hAnsi="Arial" w:cs="Arial"/>
          <w:color w:val="auto"/>
        </w:rPr>
        <w:t>.</w:t>
      </w:r>
    </w:p>
    <w:p w14:paraId="32D9EDA8" w14:textId="27177B52" w:rsidR="00EB2468" w:rsidRPr="00AA493B" w:rsidRDefault="00EB2468" w:rsidP="00AA493B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>California Training Initiative (CTI)</w:t>
      </w:r>
      <w:r w:rsidRPr="00AA493B">
        <w:rPr>
          <w:rFonts w:ascii="Arial" w:hAnsi="Arial" w:cs="Arial"/>
        </w:rPr>
        <w:t>: CWA’s on-line catalog of consultants, facilitators, trainers, and trainin</w:t>
      </w:r>
      <w:r w:rsidR="00012681">
        <w:rPr>
          <w:rFonts w:ascii="Arial" w:hAnsi="Arial" w:cs="Arial"/>
        </w:rPr>
        <w:t xml:space="preserve">g’s in workforce. CTI vendors </w:t>
      </w:r>
      <w:r w:rsidRPr="00AA493B">
        <w:rPr>
          <w:rFonts w:ascii="Arial" w:hAnsi="Arial" w:cs="Arial"/>
        </w:rPr>
        <w:t>procured through a Reques</w:t>
      </w:r>
      <w:r w:rsidR="00012681">
        <w:rPr>
          <w:rFonts w:ascii="Arial" w:hAnsi="Arial" w:cs="Arial"/>
        </w:rPr>
        <w:t>t for Proposal process, enables</w:t>
      </w:r>
      <w:r w:rsidRPr="00AA493B">
        <w:rPr>
          <w:rFonts w:ascii="Arial" w:hAnsi="Arial" w:cs="Arial"/>
        </w:rPr>
        <w:t xml:space="preserve"> LWB</w:t>
      </w:r>
      <w:r w:rsidR="00012681">
        <w:rPr>
          <w:rFonts w:ascii="Arial" w:hAnsi="Arial" w:cs="Arial"/>
        </w:rPr>
        <w:t>D</w:t>
      </w:r>
      <w:r w:rsidRPr="00AA493B">
        <w:rPr>
          <w:rFonts w:ascii="Arial" w:hAnsi="Arial" w:cs="Arial"/>
        </w:rPr>
        <w:t xml:space="preserve"> to access trainers without a duplicative procurement process. </w:t>
      </w:r>
    </w:p>
    <w:p w14:paraId="3A108B16" w14:textId="6D271B09" w:rsidR="00546864" w:rsidRPr="00F57480" w:rsidRDefault="00EB2468" w:rsidP="00F57480">
      <w:pPr>
        <w:pStyle w:val="Default"/>
        <w:numPr>
          <w:ilvl w:val="0"/>
          <w:numId w:val="18"/>
        </w:numPr>
        <w:spacing w:after="240"/>
        <w:ind w:right="-2894"/>
        <w:rPr>
          <w:rFonts w:ascii="Arial" w:hAnsi="Arial" w:cs="Arial"/>
          <w:color w:val="auto"/>
        </w:rPr>
      </w:pPr>
      <w:r w:rsidRPr="00AA493B">
        <w:rPr>
          <w:rFonts w:ascii="Arial" w:hAnsi="Arial" w:cs="Arial"/>
          <w:b/>
          <w:bCs/>
        </w:rPr>
        <w:t xml:space="preserve">Technical Assistance </w:t>
      </w:r>
      <w:r w:rsidRPr="00AA493B">
        <w:rPr>
          <w:rFonts w:ascii="Arial" w:hAnsi="Arial" w:cs="Arial"/>
        </w:rPr>
        <w:t>– a process of connecting individuals and groups to expertise and resources that addresses needs, shares information and expertise, and creates conditions leading to effectiv</w:t>
      </w:r>
      <w:r w:rsidR="00F57480">
        <w:rPr>
          <w:rFonts w:ascii="Arial" w:hAnsi="Arial" w:cs="Arial"/>
        </w:rPr>
        <w:t>e regional plan implementation.</w:t>
      </w:r>
    </w:p>
    <w:sectPr w:rsidR="00546864" w:rsidRPr="00F57480" w:rsidSect="00BE4C73">
      <w:headerReference w:type="first" r:id="rId8"/>
      <w:pgSz w:w="15840" w:h="12240" w:orient="landscape"/>
      <w:pgMar w:top="635" w:right="4456" w:bottom="502" w:left="114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511" w16cex:dateUtc="2022-01-26T16:57:00Z"/>
  <w16cex:commentExtensible w16cex:durableId="259CF512" w16cex:dateUtc="2022-01-25T03:35:00Z"/>
  <w16cex:commentExtensible w16cex:durableId="259CF5A4" w16cex:dateUtc="2022-01-27T18:42:00Z"/>
  <w16cex:commentExtensible w16cex:durableId="259CF513" w16cex:dateUtc="2022-01-25T16:25:00Z"/>
  <w16cex:commentExtensible w16cex:durableId="259CF797" w16cex:dateUtc="2022-01-27T18:51:00Z"/>
  <w16cex:commentExtensible w16cex:durableId="259CF514" w16cex:dateUtc="2022-01-25T03:42:00Z"/>
  <w16cex:commentExtensible w16cex:durableId="259CF515" w16cex:dateUtc="2022-01-25T17:04:00Z"/>
  <w16cex:commentExtensible w16cex:durableId="259CF516" w16cex:dateUtc="2022-01-25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9C990" w16cid:durableId="259CF511"/>
  <w16cid:commentId w16cid:paraId="0F166F8D" w16cid:durableId="259CF512"/>
  <w16cid:commentId w16cid:paraId="23C66443" w16cid:durableId="259CF5A4"/>
  <w16cid:commentId w16cid:paraId="2D06E68B" w16cid:durableId="259CF513"/>
  <w16cid:commentId w16cid:paraId="5E395E11" w16cid:durableId="259CF797"/>
  <w16cid:commentId w16cid:paraId="3676C452" w16cid:durableId="259CF514"/>
  <w16cid:commentId w16cid:paraId="1D9646D7" w16cid:durableId="259CF515"/>
  <w16cid:commentId w16cid:paraId="3259CB32" w16cid:durableId="259CF5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1D52" w14:textId="77777777" w:rsidR="00362DE3" w:rsidRDefault="00362DE3" w:rsidP="00362DE3">
      <w:pPr>
        <w:spacing w:after="0" w:line="240" w:lineRule="auto"/>
      </w:pPr>
      <w:r>
        <w:separator/>
      </w:r>
    </w:p>
  </w:endnote>
  <w:endnote w:type="continuationSeparator" w:id="0">
    <w:p w14:paraId="3FFD48EA" w14:textId="77777777" w:rsidR="00362DE3" w:rsidRDefault="00362DE3" w:rsidP="0036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6BF0" w14:textId="77777777" w:rsidR="00362DE3" w:rsidRDefault="00362DE3" w:rsidP="00362DE3">
      <w:pPr>
        <w:spacing w:after="0" w:line="240" w:lineRule="auto"/>
      </w:pPr>
      <w:r>
        <w:separator/>
      </w:r>
    </w:p>
  </w:footnote>
  <w:footnote w:type="continuationSeparator" w:id="0">
    <w:p w14:paraId="1A13297D" w14:textId="77777777" w:rsidR="00362DE3" w:rsidRDefault="00362DE3" w:rsidP="0036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42B5" w14:textId="3BA87C4F" w:rsidR="00BE4C73" w:rsidRDefault="00F57480" w:rsidP="00F57480">
    <w:pPr>
      <w:pStyle w:val="Header"/>
      <w:spacing w:after="360"/>
      <w:ind w:right="-325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2E231" wp14:editId="45BA0BF6">
          <wp:simplePos x="0" y="0"/>
          <wp:positionH relativeFrom="margin">
            <wp:posOffset>6019165</wp:posOffset>
          </wp:positionH>
          <wp:positionV relativeFrom="margin">
            <wp:posOffset>-794385</wp:posOffset>
          </wp:positionV>
          <wp:extent cx="2526030" cy="584200"/>
          <wp:effectExtent l="0" t="0" r="7620" b="6350"/>
          <wp:wrapSquare wrapText="bothSides"/>
          <wp:docPr id="9" name="Picture 9" descr="California Workforce Development Boar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D73" w:rsidRPr="00AA493B">
      <w:rPr>
        <w:rFonts w:ascii="Arial" w:hAnsi="Arial" w:cs="Arial"/>
        <w:b/>
        <w:color w:val="auto"/>
        <w:sz w:val="36"/>
      </w:rPr>
      <w:t xml:space="preserve">SWIM LANES – </w:t>
    </w:r>
    <w:r w:rsidR="00091D73" w:rsidRPr="00AA493B">
      <w:rPr>
        <w:rFonts w:ascii="Arial" w:hAnsi="Arial" w:cs="Arial"/>
        <w:b/>
        <w:color w:val="222A35" w:themeColor="text2" w:themeShade="80"/>
        <w:sz w:val="36"/>
      </w:rPr>
      <w:t xml:space="preserve">PROFESSIONAL </w:t>
    </w:r>
    <w:r w:rsidR="00091D73">
      <w:rPr>
        <w:rFonts w:ascii="Arial" w:hAnsi="Arial" w:cs="Arial"/>
        <w:b/>
        <w:color w:val="222A35" w:themeColor="text2" w:themeShade="80"/>
        <w:sz w:val="36"/>
      </w:rPr>
      <w:t xml:space="preserve">DEVELOPMENT, </w:t>
    </w:r>
    <w:r w:rsidR="00091D73" w:rsidRPr="00AA493B">
      <w:rPr>
        <w:rFonts w:ascii="Arial" w:hAnsi="Arial" w:cs="Arial"/>
        <w:b/>
        <w:color w:val="44546A" w:themeColor="text2"/>
        <w:sz w:val="36"/>
      </w:rPr>
      <w:t xml:space="preserve">TRAINING, </w:t>
    </w:r>
    <w:r w:rsidR="00091D73" w:rsidRPr="00AA493B">
      <w:rPr>
        <w:rFonts w:ascii="Arial" w:hAnsi="Arial" w:cs="Arial"/>
        <w:b/>
        <w:color w:val="8496B0" w:themeColor="text2" w:themeTint="99"/>
        <w:sz w:val="36"/>
      </w:rPr>
      <w:t>&amp; TECHNICAL ASSISTANCE</w:t>
    </w:r>
    <w:r w:rsidR="00091D7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F8B"/>
    <w:multiLevelType w:val="hybridMultilevel"/>
    <w:tmpl w:val="7A04841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10EA2690"/>
    <w:multiLevelType w:val="hybridMultilevel"/>
    <w:tmpl w:val="6170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639"/>
    <w:multiLevelType w:val="hybridMultilevel"/>
    <w:tmpl w:val="0204AB36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1F2D3E40"/>
    <w:multiLevelType w:val="hybridMultilevel"/>
    <w:tmpl w:val="D86EB446"/>
    <w:lvl w:ilvl="0" w:tplc="962EE03A">
      <w:start w:val="1"/>
      <w:numFmt w:val="decimal"/>
      <w:lvlText w:val="%1."/>
      <w:lvlJc w:val="left"/>
      <w:pPr>
        <w:ind w:left="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1A3994">
      <w:start w:val="1"/>
      <w:numFmt w:val="bullet"/>
      <w:lvlText w:val="•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4EB718">
      <w:start w:val="1"/>
      <w:numFmt w:val="bullet"/>
      <w:lvlText w:val="▪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8D85E">
      <w:start w:val="1"/>
      <w:numFmt w:val="bullet"/>
      <w:lvlText w:val="•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901644">
      <w:start w:val="1"/>
      <w:numFmt w:val="bullet"/>
      <w:lvlText w:val="o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B450DA">
      <w:start w:val="1"/>
      <w:numFmt w:val="bullet"/>
      <w:lvlText w:val="▪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6CEF2E">
      <w:start w:val="1"/>
      <w:numFmt w:val="bullet"/>
      <w:lvlText w:val="•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ECDED6">
      <w:start w:val="1"/>
      <w:numFmt w:val="bullet"/>
      <w:lvlText w:val="o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962A1E">
      <w:start w:val="1"/>
      <w:numFmt w:val="bullet"/>
      <w:lvlText w:val="▪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754CB"/>
    <w:multiLevelType w:val="hybridMultilevel"/>
    <w:tmpl w:val="4D725F4C"/>
    <w:lvl w:ilvl="0" w:tplc="4C42129E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568204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1EBD28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527248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3AAF40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76919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EE0566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E4738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FA516E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E4967"/>
    <w:multiLevelType w:val="hybridMultilevel"/>
    <w:tmpl w:val="AC4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658A"/>
    <w:multiLevelType w:val="hybridMultilevel"/>
    <w:tmpl w:val="749844FA"/>
    <w:lvl w:ilvl="0" w:tplc="BB06762A">
      <w:start w:val="1"/>
      <w:numFmt w:val="bullet"/>
      <w:lvlText w:val="•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D6DBA0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180D1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5C181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24E52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529C3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1A1CE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68182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CE5D5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C075A1"/>
    <w:multiLevelType w:val="hybridMultilevel"/>
    <w:tmpl w:val="7034E656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469F745B"/>
    <w:multiLevelType w:val="hybridMultilevel"/>
    <w:tmpl w:val="2AD0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F4AF4"/>
    <w:multiLevelType w:val="hybridMultilevel"/>
    <w:tmpl w:val="6C30E1AC"/>
    <w:lvl w:ilvl="0" w:tplc="24646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798A"/>
    <w:multiLevelType w:val="hybridMultilevel"/>
    <w:tmpl w:val="A25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771"/>
    <w:multiLevelType w:val="hybridMultilevel"/>
    <w:tmpl w:val="ADD40906"/>
    <w:lvl w:ilvl="0" w:tplc="AE8CD4FE">
      <w:start w:val="1"/>
      <w:numFmt w:val="decimal"/>
      <w:lvlText w:val="%1."/>
      <w:lvlJc w:val="left"/>
      <w:pPr>
        <w:ind w:left="36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4E514E8B"/>
    <w:multiLevelType w:val="hybridMultilevel"/>
    <w:tmpl w:val="E32CAF0C"/>
    <w:lvl w:ilvl="0" w:tplc="1286FB22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EBD5DC9"/>
    <w:multiLevelType w:val="hybridMultilevel"/>
    <w:tmpl w:val="5BE83C60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4" w15:restartNumberingAfterBreak="0">
    <w:nsid w:val="555F6342"/>
    <w:multiLevelType w:val="hybridMultilevel"/>
    <w:tmpl w:val="4898442E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65332C9A"/>
    <w:multiLevelType w:val="hybridMultilevel"/>
    <w:tmpl w:val="74D6A74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695E7A69"/>
    <w:multiLevelType w:val="hybridMultilevel"/>
    <w:tmpl w:val="9E7A34F2"/>
    <w:lvl w:ilvl="0" w:tplc="8AC2DF60">
      <w:start w:val="1"/>
      <w:numFmt w:val="bullet"/>
      <w:lvlText w:val="•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968AE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96D3A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B8A24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BAB79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34F08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7AA484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426BA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BCEB7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D97293"/>
    <w:multiLevelType w:val="hybridMultilevel"/>
    <w:tmpl w:val="7034E656"/>
    <w:lvl w:ilvl="0" w:tplc="A2E6BD3A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78EA726D"/>
    <w:multiLevelType w:val="hybridMultilevel"/>
    <w:tmpl w:val="1CECE3B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4"/>
    <w:rsid w:val="00012681"/>
    <w:rsid w:val="00091D73"/>
    <w:rsid w:val="000D2E87"/>
    <w:rsid w:val="002A42EB"/>
    <w:rsid w:val="002A6EE5"/>
    <w:rsid w:val="00362DE3"/>
    <w:rsid w:val="00412A0F"/>
    <w:rsid w:val="00466FFE"/>
    <w:rsid w:val="004D2CBC"/>
    <w:rsid w:val="004D6C8B"/>
    <w:rsid w:val="00546864"/>
    <w:rsid w:val="005762B9"/>
    <w:rsid w:val="00585D5F"/>
    <w:rsid w:val="006A1782"/>
    <w:rsid w:val="006E55C7"/>
    <w:rsid w:val="0081779A"/>
    <w:rsid w:val="00916495"/>
    <w:rsid w:val="009B587D"/>
    <w:rsid w:val="00A459B9"/>
    <w:rsid w:val="00AA493B"/>
    <w:rsid w:val="00B1260D"/>
    <w:rsid w:val="00B21A46"/>
    <w:rsid w:val="00BE4C73"/>
    <w:rsid w:val="00BE522C"/>
    <w:rsid w:val="00C727C4"/>
    <w:rsid w:val="00C8025D"/>
    <w:rsid w:val="00CD3034"/>
    <w:rsid w:val="00DE3DE6"/>
    <w:rsid w:val="00EB2468"/>
    <w:rsid w:val="00ED3B0D"/>
    <w:rsid w:val="00F162FB"/>
    <w:rsid w:val="00F57480"/>
    <w:rsid w:val="00F63324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2495"/>
  <w15:docId w15:val="{4A0016B7-33C0-4B1F-8FBF-62C608A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6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3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34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E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62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493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1436-44C4-45AA-9F43-64F45B0E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CWDB &amp; EDD Regional Initiatives Roles and Responsibilities</vt:lpstr>
    </vt:vector>
  </TitlesOfParts>
  <Company>Employment Development Department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CWDB &amp; EDD Regional Initiatives Roles and Responsibilities</dc:title>
  <dc:subject/>
  <dc:creator>Robin Purdy</dc:creator>
  <cp:keywords/>
  <cp:lastModifiedBy>Chang, Kerry@CWDB</cp:lastModifiedBy>
  <cp:revision>4</cp:revision>
  <dcterms:created xsi:type="dcterms:W3CDTF">2022-01-28T20:34:00Z</dcterms:created>
  <dcterms:modified xsi:type="dcterms:W3CDTF">2022-01-29T01:05:00Z</dcterms:modified>
</cp:coreProperties>
</file>